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b76816edc71a4755" /></Relationships>
</file>

<file path=word/document.xml><?xml version="1.0" encoding="utf-8"?>
<w:document xmlns:w="http://schemas.openxmlformats.org/wordprocessingml/2006/main">
  <w:body>
    <w:tbl>
      <w:tblPr>
        <w:tblW w:w="9000" w:type="dxa"/>
        <w:tblBorders>
          <w:top w:val="nil"/>
          <w:bottom w:val="nil"/>
          <w:left w:val="nil"/>
          <w:right w:val="nil"/>
          <w:insideH w:val="nil"/>
          <w:insideV w:val="nil"/>
        </w:tblBorders>
        <w:tblCellSpacing w:w="60" w:type="dxa"/>
        <w:shd w:val="clear" w:color="auto" w:fill="E7F0F9"/>
      </w:tblPr>
      <w:tblGrid>
        <w:gridCol w:w="1200"/>
        <w:gridCol w:w="4500"/>
      </w:tblGrid>
      <w:tr>
        <w:tc>
          <w:tcPr>
            <w:tcW w:w="1200" w:type="pct"/>
            <w:shd w:val="clear" w:color="auto" w:fill="E7F0F9"/>
          </w:tcPr>
          <w:p>
            <w:pPr>
              <w:spacing w:before="0" w:after="0" w:line="240" w:lineRule="auto"/>
              <w:jc w:val="left"/>
            </w:pPr>
            <w:r>
              <w:rPr>
                <w:b/>
              </w:rPr>
              <w:t xml:space="preserve">RKP broj</w:t>
            </w:r>
          </w:p>
        </w:tc>
        <w:tc>
          <w:tcPr>
            <w:shd w:val="clear" w:color="auto" w:fill="E7F0F9"/>
          </w:tcPr>
          <w:p>
            <w:pPr>
              <w:spacing w:before="0" w:after="0" w:line="240" w:lineRule="auto"/>
              <w:jc w:val="left"/>
            </w:pPr>
            <w:r>
              <w:t xml:space="preserve">27394</w:t>
            </w:r>
          </w:p>
        </w:tc>
      </w:tr>
      <w:tr>
        <w:tc>
          <w:tcPr>
            <w:tcW w:w="1200" w:type="pct"/>
            <w:shd w:val="clear" w:color="auto" w:fill="E7F0F9"/>
          </w:tcPr>
          <w:p>
            <w:pPr>
              <w:spacing w:before="0" w:after="0" w:line="240" w:lineRule="auto"/>
              <w:jc w:val="left"/>
            </w:pPr>
            <w:r>
              <w:rPr>
                <w:b/>
              </w:rPr>
              <w:t xml:space="preserve">Naziv obveznika</w:t>
            </w:r>
          </w:p>
        </w:tc>
        <w:tc>
          <w:tcPr>
            <w:shd w:val="clear" w:color="auto" w:fill="E7F0F9"/>
          </w:tcPr>
          <w:p>
            <w:pPr>
              <w:spacing w:before="0" w:after="0" w:line="240" w:lineRule="auto"/>
              <w:jc w:val="left"/>
            </w:pPr>
            <w:r>
              <w:t xml:space="preserve">OPĆINA KAMANJE</w:t>
            </w:r>
          </w:p>
        </w:tc>
      </w:tr>
      <w:tr>
        <w:tc>
          <w:tcPr>
            <w:tcW w:w="1200" w:type="pct"/>
            <w:shd w:val="clear" w:color="auto" w:fill="E7F0F9"/>
          </w:tcPr>
          <w:p>
            <w:pPr>
              <w:spacing w:before="0" w:after="0" w:line="240" w:lineRule="auto"/>
              <w:jc w:val="left"/>
            </w:pPr>
            <w:r>
              <w:rPr>
                <w:b/>
              </w:rPr>
              <w:t xml:space="preserve">Razina</w:t>
            </w:r>
          </w:p>
        </w:tc>
        <w:tc>
          <w:tcPr>
            <w:shd w:val="clear" w:color="auto" w:fill="E7F0F9"/>
          </w:tcPr>
          <w:p>
            <w:pPr>
              <w:spacing w:before="0" w:after="0" w:line="240" w:lineRule="auto"/>
              <w:jc w:val="left"/>
            </w:pPr>
            <w:r>
              <w:t xml:space="preserve">22</w:t>
            </w:r>
          </w:p>
        </w:tc>
      </w:tr>
    </w:tbl>
    <w:p>
      <w:r>
        <w:br/>
      </w:r>
    </w:p>
    <w:p>
      <w:pPr>
        <w:jc w:val="center"/>
        <w:pStyle w:val="Normal"/>
        <w:spacing w:line="240" w:lineRule="auto"/>
      </w:pPr>
      <w:r>
        <w:rPr>
          <w:b/>
          <w:sz w:val="28"/>
          <w:rFonts w:ascii="Times New Roman" w:hAnsi="Times New Roman"/>
        </w:rPr>
        <w:t xml:space="preserve">BILJEŠKE UZ FINANCIJSKE IZVJEŠTAJE</w:t>
      </w:r>
    </w:p>
    <w:p>
      <w:pPr>
        <w:jc w:val="center"/>
        <w:pStyle w:val="Normal"/>
        <w:spacing w:line="240" w:lineRule="auto"/>
      </w:pPr>
      <w:r>
        <w:rPr>
          <w:b/>
          <w:sz w:val="28"/>
          <w:rFonts w:ascii="Times New Roman" w:hAnsi="Times New Roman"/>
        </w:rPr>
        <w:t xml:space="preserve">ZA RAZDOBLJE</w:t>
      </w:r>
    </w:p>
    <w:p>
      <w:pPr>
        <w:jc w:val="center"/>
        <w:pStyle w:val="Normal"/>
        <w:spacing w:line="240" w:lineRule="auto"/>
      </w:pPr>
      <w:r>
        <w:rPr>
          <w:b/>
          <w:sz w:val="28"/>
          <w:rFonts w:ascii="Times New Roman" w:hAnsi="Times New Roman"/>
        </w:rPr>
        <w:t xml:space="preserve">I - VI 2026.</w:t>
      </w:r>
    </w:p>
    <w:p/>
    <w:p>
      <w:pPr>
        <w:jc w:val="center"/>
        <w:pStyle w:val="Normal"/>
        <w:spacing w:line="240" w:lineRule="auto"/>
        <w:keepNext/>
      </w:pPr>
      <w:r>
        <w:rPr>
          <w:b/>
          <w:sz w:val="28"/>
          <w:rFonts w:ascii="Times New Roman" w:hAnsi="Times New Roman"/>
        </w:rPr>
        <w:t xml:space="preserve">Izvještaj o prihodima i rashodima, primicima i izdacima</w:t>
      </w:r>
    </w:p>
    <w:p>
      <w:pPr>
        <w:jc w:val="center"/>
        <w:pStyle w:val="Normal"/>
        <w:spacing w:line="240" w:lineRule="auto"/>
        <w:keepNext/>
      </w:pPr>
      <w:r>
        <w:rPr>
          <w:sz w:val="28"/>
          <w:rFonts w:ascii="Times New Roman" w:hAnsi="Times New Roman"/>
        </w:rPr>
        <w:t xml:space="preserve">Bilješka 1.</w:t>
      </w:r>
    </w:p>
    <w:tbl>
      <w:tblPr>
        <w:tblBorders>
          <w:top w:val="single" w:color="BABABA" w:sz="12"/>
          <w:bottom w:val="single" w:color="BABABA" w:sz="12"/>
          <w:left w:val="single" w:color="BABABA" w:sz="12"/>
          <w:right w:val="single" w:color="BABABA" w:sz="12"/>
          <w:insideH w:val="single" w:color="BABABA" w:sz="8"/>
          <w:insideV w:val="single" w:color="DADADA" w:sz="8"/>
        </w:tblBorders>
        <w:tblW w:w="0" w:type="auto"/>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POSLOVANJA (šifre 61+62+63+64+65+66+67+68)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276.669,19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329.021,26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118,9</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POSLOVANJA (šifre 31+32+34+35+36+37+38)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255.638,09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187.419,17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73,3</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 PRIHODA POSLOVANJA (šifre 6-Z005)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21.031,10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141.602,09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673,3</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nefinancijske imovine (šifre 71+72+73+74)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84,00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nabavu nefinancijske imovine (šifre 41+42+43+44+45)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26.348,75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70.382,50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267,1</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OD NEFINANCIJSKE IMOVINE (šifre 4-7)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26.264,75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70.382,50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268,0</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Primici od financijske imovine i zaduživanja (šifre 81+82+83+84+85)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Izdaci za financijsku imovinu i otplate zajmova (šifre 51+52+53+54+55)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66.225,00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VIŠAK/MANJAK PRIMITAKA OD FINANCIJSKE IMOVINE I ZADUŽIVANJA (šifre 8-5, 5-8)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X003, Y003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 PRIHODA I PRIMITAKA (šifre X678-Y345)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28.541,35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71.219,59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249,5</w:t>
            </w:r>
          </w:p>
        </w:tc>
      </w:tr>
    </w:tbl>
    <w:p>
      <w:pPr>
        <w:spacing w:before="0" w:after="0"/>
      </w:pPr>
    </w:p>
    <w:p>
      <w:r>
        <w:t xml:space="preserve">Financijski izvještaji za izvještajno razdoblje sastavljeni su u skladu s važećim propisima koji uređuju proračunsko računovodstvo i financijsko izvještavanje proračunskih i izvanproračunskih korisnika.</w:t>
      </w:r>
    </w:p>
    <w:p>
      <w:r>
        <w:t xml:space="preserve">Prema podacima iskazanim u obrascu PR-RAS, ukupni prihodi poslovanja ostvareni su u iznosu od 329.021,26 EUR, dok ukupni rashodi poslovanja iznose 187.419,17 EUR. Iz poslovnih aktivnosti ostvaren je višak prihoda poslovanja u iznosu od 141.602,09 EUR.</w:t>
      </w:r>
    </w:p>
    <w:p>
      <w:r>
        <w:t xml:space="preserve">U izvještajnom razdoblju nisu ostvareni prihodi od prodaje nefinancijske imovine, dok rashodi za nabavu nefinancijske imovine iznose 70.382,50 EUR, zbog čega je iskazan manjak prihoda od nefinancijske imovine u istom iznosu.</w:t>
      </w:r>
    </w:p>
    <w:p>
      <w:r>
        <w:t xml:space="preserve">Tijekom izvještajnog razdoblja nije bilo primitaka od financijske imovine i zaduživanja niti izdataka za financijsku imovinu i otplate zajmova, pa u ovom dijelu nije ostvaren višak ni manjak.</w:t>
      </w:r>
    </w:p>
    <w:p>
      <w:r>
        <w:t xml:space="preserve">Nakon obračuna svih prihoda, rashoda, primitaka i izdataka, za izvještajno razdoblje ostvaren je ukupni višak prihoda i primitaka u iznosu od 71.219,59 EUR-a-</w:t>
      </w:r>
    </w:p>
    <w:p>
      <w:r>
        <w:br/>
      </w:r>
    </w:p>
    <w:p>
      <w:pPr>
        <w:jc w:val="center"/>
        <w:pStyle w:val="Normal"/>
        <w:spacing w:line="240" w:lineRule="auto"/>
        <w:keepNext/>
      </w:pPr>
      <w:r>
        <w:rPr>
          <w:sz w:val="28"/>
          <w:rFonts w:ascii="Times New Roman" w:hAnsi="Times New Roman"/>
        </w:rPr>
        <w:t xml:space="preserve">Bilješka 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6134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Povremeni porezi na imovinu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6134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1.175,31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960,00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81,7</w:t>
            </w:r>
          </w:p>
        </w:tc>
      </w:tr>
    </w:tbl>
    <w:p>
      <w:pPr>
        <w:spacing w:before="0" w:after="0"/>
      </w:pPr>
    </w:p>
    <w:p>
      <w:r>
        <w:t xml:space="preserve">Prihodi od poreza na nekretnine ostvareni su u manjem iznosu u odnosu na prethodno izvještajno razdoblje. Smanjenje je posljedica manjeg broja naplaćenih poreznih obveza tijekom godine. Ostvarenje ovih prihoda ovisi o utvrđenim poreznim obvezama i njihovoj naplati, koje mogu varirati između izvještajnih razdoblja.</w:t>
      </w:r>
    </w:p>
    <w:p/>
    <w:p>
      <w:pPr>
        <w:jc w:val="center"/>
        <w:pStyle w:val="Normal"/>
        <w:spacing w:line="240" w:lineRule="auto"/>
        <w:keepNext/>
      </w:pPr>
      <w:r>
        <w:rPr>
          <w:sz w:val="28"/>
          <w:rFonts w:ascii="Times New Roman" w:hAnsi="Times New Roman"/>
        </w:rPr>
        <w:t xml:space="preserve">Bilješka 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6142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Porez na promet</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2.733,16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3.743,35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137,0</w:t>
            </w:r>
          </w:p>
        </w:tc>
      </w:tr>
    </w:tbl>
    <w:p>
      <w:pPr>
        <w:spacing w:before="0" w:after="0"/>
      </w:pPr>
    </w:p>
    <w:p>
      <w:r>
        <w:t xml:space="preserve">Do povećane uplate poreza na promet alkoholnih i bezalkoholnih pića došlo je uslijed  povećane potrošnje u odnosu na prethodno razdoblje, što je rezultiralo većom poreznom osnovicom i posljedično većim prihodima od navedenog poreza.</w:t>
      </w:r>
    </w:p>
    <w:p/>
    <w:p>
      <w:pPr>
        <w:jc w:val="center"/>
        <w:pStyle w:val="Normal"/>
        <w:spacing w:line="240" w:lineRule="auto"/>
        <w:keepNext/>
      </w:pPr>
      <w:r>
        <w:rPr>
          <w:sz w:val="28"/>
          <w:rFonts w:ascii="Times New Roman" w:hAnsi="Times New Roman"/>
        </w:rPr>
        <w:t xml:space="preserve">Bilješka 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proračunu i izvanproračunskim korisnicima iz drugih proračuna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26.676,66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Pomoć se odnosi na fiskalnu održivost dječjih vrtića te na pomoći Ministarstva demografije i useljeništva za sufinanciranje Programa provedbe edukativnih, kulturnih i sportskih aktivnosti za predškolsku djecu te djecu od 1. do 4. razreda osnovne škole u lokalnim zajednicama</w:t>
      </w:r>
    </w:p>
    <w:p/>
    <w:p>
      <w:pPr>
        <w:jc w:val="center"/>
        <w:pStyle w:val="Normal"/>
        <w:spacing w:line="240" w:lineRule="auto"/>
        <w:keepNext/>
      </w:pPr>
      <w:r>
        <w:rPr>
          <w:sz w:val="28"/>
          <w:rFonts w:ascii="Times New Roman" w:hAnsi="Times New Roman"/>
        </w:rPr>
        <w:t xml:space="preserve">Bilješka 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6332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pomoći proračunu i izvanproračunskim korisnicima iz drugih proračuna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Pomoć je ostvarena od Ministarstva regionmalnog razvoja i fondova EU po Programu održivog razvoja lokalne zajednice za opremanje dječjeg igrališta </w:t>
      </w:r>
    </w:p>
    <w:p/>
    <w:p>
      <w:pPr>
        <w:jc w:val="center"/>
        <w:pStyle w:val="Normal"/>
        <w:spacing w:line="240" w:lineRule="auto"/>
        <w:keepNext/>
      </w:pPr>
      <w:r>
        <w:rPr>
          <w:sz w:val="28"/>
          <w:rFonts w:ascii="Times New Roman" w:hAnsi="Times New Roman"/>
        </w:rPr>
        <w:t xml:space="preserve">Bilješka 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financijske imovine (šifre 6412 do 6419)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6,39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37,93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593,6</w:t>
            </w:r>
          </w:p>
        </w:tc>
      </w:tr>
    </w:tbl>
    <w:p>
      <w:pPr>
        <w:spacing w:before="0" w:after="0"/>
      </w:pPr>
    </w:p>
    <w:p>
      <w:r>
        <w:t xml:space="preserve">Prihod je u ovom razdoblju veći zbog prihoda od kamata prilikom prisilne naplate dugovanja </w:t>
      </w:r>
    </w:p>
    <w:p/>
    <w:p>
      <w:pPr>
        <w:jc w:val="center"/>
        <w:pStyle w:val="Normal"/>
        <w:spacing w:line="240" w:lineRule="auto"/>
        <w:keepNext/>
      </w:pPr>
      <w:r>
        <w:rPr>
          <w:sz w:val="28"/>
          <w:rFonts w:ascii="Times New Roman" w:hAnsi="Times New Roman"/>
        </w:rPr>
        <w:t xml:space="preserve">Bilješka 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6526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Ostali nespomenuti prihodi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6526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4.305,44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1.864,89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43,3</w:t>
            </w:r>
          </w:p>
        </w:tc>
      </w:tr>
    </w:tbl>
    <w:p>
      <w:pPr>
        <w:spacing w:before="0" w:after="0"/>
      </w:pPr>
    </w:p>
    <w:p>
      <w:r>
        <w:t xml:space="preserve">U prošlogodišnjem razdoblju Općina Kamanje financirala je program produženog boravka u Područnoj školi Kamanje dok su roditelji djece polaznika participirali u trošku dok se u ovoj godini takav program nije provodio stoga je i prihod manje ostvaren.</w:t>
      </w:r>
    </w:p>
    <w:p/>
    <w:p>
      <w:pPr>
        <w:jc w:val="center"/>
        <w:pStyle w:val="Normal"/>
        <w:spacing w:line="240" w:lineRule="auto"/>
        <w:keepNext/>
      </w:pPr>
      <w:r>
        <w:rPr>
          <w:sz w:val="28"/>
          <w:rFonts w:ascii="Times New Roman" w:hAnsi="Times New Roman"/>
        </w:rPr>
        <w:t xml:space="preserve">Bilješka 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6532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Komunalne naknade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6532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13.292,55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16.235,55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122,1</w:t>
            </w:r>
          </w:p>
        </w:tc>
      </w:tr>
    </w:tbl>
    <w:p>
      <w:pPr>
        <w:spacing w:before="0" w:after="0"/>
      </w:pPr>
    </w:p>
    <w:p>
      <w:r>
        <w:t xml:space="preserve">Prihodi od komunalne naknade ostvareni su u većem iznosu u odnosu na prethodno izvještajno razdoblje, iako nije došlo do povećanja visine komunalne naknade. Povećanje prihoda rezultat je učinkovitije naplate dospjelih potraživanja, uključujući naplatu dijela obveza iz prethodnih razdoblja, te bolje financijske discipline obveznika i kontinuiranog praćenja naplate.</w:t>
      </w:r>
    </w:p>
    <w:p/>
    <w:p>
      <w:pPr>
        <w:jc w:val="center"/>
        <w:pStyle w:val="Normal"/>
        <w:spacing w:line="240" w:lineRule="auto"/>
        <w:keepNext/>
      </w:pPr>
      <w:r>
        <w:rPr>
          <w:sz w:val="28"/>
          <w:rFonts w:ascii="Times New Roman" w:hAnsi="Times New Roman"/>
        </w:rPr>
        <w:t xml:space="preserve">Bilješka 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6615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pruženih usluga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6615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480,00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285,30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59,4</w:t>
            </w:r>
          </w:p>
        </w:tc>
      </w:tr>
    </w:tbl>
    <w:p>
      <w:pPr>
        <w:spacing w:before="0" w:after="0"/>
      </w:pPr>
    </w:p>
    <w:p>
      <w:r>
        <w:t xml:space="preserve">Na zahtjev stranaka Vlastiti pogon Općine Kamanje vrši uslugu košnje trave. S obzirom da je u ovom razdoblju bila manja potražna za uslugom ostvaren je i manji prihod.</w:t>
      </w:r>
    </w:p>
    <w:p/>
    <w:p>
      <w:pPr>
        <w:jc w:val="center"/>
        <w:pStyle w:val="Normal"/>
        <w:spacing w:line="240" w:lineRule="auto"/>
        <w:keepNext/>
      </w:pPr>
      <w:r>
        <w:rPr>
          <w:sz w:val="28"/>
          <w:rFonts w:ascii="Times New Roman" w:hAnsi="Times New Roman"/>
        </w:rPr>
        <w:t xml:space="preserve">Bilješka 10.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zaposlene (šifre 311+312+313)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55.904,04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61.385,12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109,8</w:t>
            </w:r>
          </w:p>
        </w:tc>
      </w:tr>
    </w:tbl>
    <w:p>
      <w:pPr>
        <w:spacing w:before="0" w:after="0"/>
      </w:pPr>
    </w:p>
    <w:p>
      <w:r>
        <w:t xml:space="preserve">U istom razdoblju prošle godine djelatnica je koristila dugotrajno bolovanje te je plaća isplaćivana na teret HZZO, što je rezultiralo i nižim troškovima u proračunu Općine Kamanje.</w:t>
      </w:r>
    </w:p>
    <w:p/>
    <w:p>
      <w:pPr>
        <w:jc w:val="center"/>
        <w:pStyle w:val="Normal"/>
        <w:spacing w:line="240" w:lineRule="auto"/>
        <w:keepNext/>
      </w:pPr>
      <w:r>
        <w:rPr>
          <w:sz w:val="28"/>
          <w:rFonts w:ascii="Times New Roman" w:hAnsi="Times New Roman"/>
        </w:rPr>
        <w:t xml:space="preserve">Bilješka 11.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Sitni inventar i autogume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1.089,47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3.449,95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316,7</w:t>
            </w:r>
          </w:p>
        </w:tc>
      </w:tr>
    </w:tbl>
    <w:p>
      <w:pPr>
        <w:spacing w:before="0" w:after="0"/>
      </w:pPr>
    </w:p>
    <w:p>
      <w:r>
        <w:t xml:space="preserve">Općina je tijekom ove godine provodila projekat Program provedbe edukativnih, kulturnih i sportskih aktivnosti za predškolsku djecu te djecu od 1. do 4. razreda osnovne škole u lokalnim zajednicama u sklopu kojeg su nabavljena oprema što je rezultiralo većim troškovima za nabavu sitnog inventara.</w:t>
      </w:r>
    </w:p>
    <w:p/>
    <w:p>
      <w:pPr>
        <w:jc w:val="center"/>
        <w:pStyle w:val="Normal"/>
        <w:spacing w:line="240" w:lineRule="auto"/>
        <w:keepNext/>
      </w:pPr>
      <w:r>
        <w:rPr>
          <w:sz w:val="28"/>
          <w:rFonts w:ascii="Times New Roman" w:hAnsi="Times New Roman"/>
        </w:rPr>
        <w:t xml:space="preserve">Bilješka 12.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Usluge promidžbe i informiranja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1.456,22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821,72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56,4</w:t>
            </w:r>
          </w:p>
        </w:tc>
      </w:tr>
    </w:tbl>
    <w:p>
      <w:pPr>
        <w:spacing w:before="0" w:after="0"/>
      </w:pPr>
    </w:p>
    <w:p>
      <w:r>
        <w:t xml:space="preserve">U prethodnoj godini Općina je raspisivala natječaje za zapošljavanje i objavljivala javne pozive u postupku izrade prostornog i urbanističkog plana što je rezultiralo i višim troškovima u tom razdoblju.</w:t>
      </w:r>
    </w:p>
    <w:p/>
    <w:p>
      <w:pPr>
        <w:jc w:val="center"/>
        <w:pStyle w:val="Normal"/>
        <w:spacing w:line="240" w:lineRule="auto"/>
        <w:keepNext/>
      </w:pPr>
      <w:r>
        <w:rPr>
          <w:sz w:val="28"/>
          <w:rFonts w:ascii="Times New Roman" w:hAnsi="Times New Roman"/>
        </w:rPr>
        <w:t xml:space="preserve">Bilješka 13.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drugom proračunu i izvanproračunskim korisnicima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3.132,08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2.070,75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66,1</w:t>
            </w:r>
          </w:p>
        </w:tc>
      </w:tr>
    </w:tbl>
    <w:p>
      <w:pPr>
        <w:spacing w:before="0" w:after="0"/>
      </w:pPr>
    </w:p>
    <w:p>
      <w:r>
        <w:t xml:space="preserve">Rashodi na ovoj stavci ostvareni su u manjem iznosu u odnosu na prethodno izvještajno razdoblje. U prethodnoj godini održani su lokalni izbori, zbog čega je Općina Kamanje snosila dio troškova provedbe izbora sukladno propisima i obvezama prema Karlovačkoj županiji. Budući da u izvještajnom razdoblju nije bilo održavanja lokalnih izbora niti povezanih troškova, rashodi na ovoj stavci ostvareni su u nižem iznosu.</w:t>
      </w:r>
    </w:p>
    <w:p/>
    <w:p>
      <w:pPr>
        <w:jc w:val="center"/>
        <w:pStyle w:val="Normal"/>
        <w:spacing w:line="240" w:lineRule="auto"/>
        <w:keepNext/>
      </w:pPr>
      <w:r>
        <w:rPr>
          <w:sz w:val="28"/>
          <w:rFonts w:ascii="Times New Roman" w:hAnsi="Times New Roman"/>
        </w:rPr>
        <w:t xml:space="preserve">Bilješka 14.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3661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proračunskim korisnicima drugih proračuna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3661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10.379,39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7.627,96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73,5</w:t>
            </w:r>
          </w:p>
        </w:tc>
      </w:tr>
    </w:tbl>
    <w:p>
      <w:pPr>
        <w:spacing w:before="0" w:after="0"/>
      </w:pPr>
    </w:p>
    <w:p>
      <w:r>
        <w:t xml:space="preserve">Rashodi na ovoj stavci ostvareni su u manjem iznosu u odnosu na prethodno izvještajno razdoblje. U prethodnoj godini Općina Kamanje sudjelovala je u većem udjelu sufinanciranja rada Turističke zajednice te je izvršavala isplate Osnovnoj školi za sufinanciranje troškova plaće učiteljice u programu produženog boravka.</w:t>
      </w:r>
    </w:p>
    <w:p/>
    <w:p>
      <w:pPr>
        <w:jc w:val="center"/>
        <w:pStyle w:val="Normal"/>
        <w:spacing w:line="240" w:lineRule="auto"/>
        <w:keepNext/>
      </w:pPr>
      <w:r>
        <w:rPr>
          <w:sz w:val="28"/>
          <w:rFonts w:ascii="Times New Roman" w:hAnsi="Times New Roman"/>
        </w:rPr>
        <w:t xml:space="preserve">Bilješka 15.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VIŠAK PRIHODA POSLOVANJA (šifre 6-Z005)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X001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21.031,10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141.602,09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673,3</w:t>
            </w:r>
          </w:p>
        </w:tc>
      </w:tr>
    </w:tbl>
    <w:p>
      <w:pPr>
        <w:spacing w:before="0" w:after="0"/>
      </w:pPr>
    </w:p>
    <w:p>
      <w:r>
        <w:t xml:space="preserve">U izvještajnom razdoblju Općina Kamanje provodila je mjere racionalnog i odgovornog upravljanja proračunskim sredstvima s ciljem smanjenja rashoda i saniranja manjka iz prethodne godine. Posebna pozornost posvećena je kontroli i racionalizaciji tekućih troškova te planiranju i izvršavanju rashoda u skladu s raspoloživim prihodima.</w:t>
      </w:r>
    </w:p>
    <w:p/>
    <w:p>
      <w:pPr>
        <w:jc w:val="center"/>
        <w:pStyle w:val="Normal"/>
        <w:spacing w:line="240" w:lineRule="auto"/>
        <w:keepNext/>
      </w:pPr>
      <w:r>
        <w:rPr>
          <w:sz w:val="28"/>
          <w:rFonts w:ascii="Times New Roman" w:hAnsi="Times New Roman"/>
        </w:rPr>
        <w:t xml:space="preserve">Bilješka 16.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Građevinski objekti (šifre 4211 do 4214)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19.673,75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45.456,25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231,1</w:t>
            </w:r>
          </w:p>
        </w:tc>
      </w:tr>
    </w:tbl>
    <w:p>
      <w:pPr>
        <w:spacing w:before="0" w:after="0"/>
      </w:pPr>
    </w:p>
    <w:p>
      <w:r>
        <w:t xml:space="preserve">Rashodi na ovoj stavci ostvareni su u izvještajnom razdoblju zbog izvođenja radova na izgradnji odnosno rekonstrukciji i održavanju nerazvrstanih cesta na području Općine Kamanje. U prethodnom izvještajnom razdoblju nije bilo izvođenja radova ove vrste niti su nastali rashodi po toj osnovi, zbog čega u prošloj godini nije evidentiran trošak na ovoj stavci.</w:t>
      </w:r>
    </w:p>
    <w:p/>
    <w:p>
      <w:pPr>
        <w:jc w:val="center"/>
        <w:pStyle w:val="Normal"/>
        <w:spacing w:line="240" w:lineRule="auto"/>
        <w:keepNext/>
      </w:pPr>
      <w:r>
        <w:rPr>
          <w:sz w:val="28"/>
          <w:rFonts w:ascii="Times New Roman" w:hAnsi="Times New Roman"/>
        </w:rPr>
        <w:t xml:space="preserve">Bilješka 17.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Uredska oprema i namještaj</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1.675,00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4.676,25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279,2</w:t>
            </w:r>
          </w:p>
        </w:tc>
      </w:tr>
    </w:tbl>
    <w:p>
      <w:pPr>
        <w:spacing w:before="0" w:after="0"/>
      </w:pPr>
    </w:p>
    <w:p>
      <w:r>
        <w:t xml:space="preserve">Rashodi za nabavu informatičke opreme ostvareni su u izvještajnom razdoblju u okviru provedbe projekta Program provedbe edukativnih, kulturnih i sportskih aktivnosti za predškolsku djecu te djecu od 1. do 4. razreda osnovne škole u lokalnim zajednicama koji je provodila Općina Kamanje. Za potrebe uspješne provedbe projekta nabavljena je informatička oprema potrebna za izvršavanje projektnih aktivnosti i ostvarivanje projektnih ciljeva. Budući da u prethodnom izvještajnom razdoblju nije bilo nabave takve opreme po ovoj osnovi, rashodi na ovoj stavci veći su u odnosu na prethodnu godinu.</w:t>
      </w:r>
    </w:p>
    <w:p/>
    <w:p>
      <w:pPr>
        <w:jc w:val="center"/>
        <w:pStyle w:val="Normal"/>
        <w:spacing w:line="240" w:lineRule="auto"/>
        <w:keepNext/>
      </w:pPr>
      <w:r>
        <w:rPr>
          <w:sz w:val="28"/>
          <w:rFonts w:ascii="Times New Roman" w:hAnsi="Times New Roman"/>
        </w:rPr>
        <w:t xml:space="preserve">Bilješka 18.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Nematerijalna proizvedena imovina (šifre 4261 do 4264)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20.250,00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405,0</w:t>
            </w:r>
          </w:p>
        </w:tc>
      </w:tr>
    </w:tbl>
    <w:p>
      <w:pPr>
        <w:spacing w:before="0" w:after="0"/>
      </w:pPr>
    </w:p>
    <w:p>
      <w:r>
        <w:t xml:space="preserve">Rashodi na ovoj stavci ostvareni su u većem iznosu u odnosu na prethodno izvještajno razdoblje zbog aktivnosti vezanih uz izradu Prostornog i Urbanističkog plana Općine Kamanje. Tijekom izvještajnog razdoblja nastali su troškovi izrade prostorno planske dokumentacije, što je rezultiralo povećanjem rashoda u odnosu na prethodnu godinu</w:t>
      </w:r>
    </w:p>
    <w:p/>
    <w:p>
      <w:pPr>
        <w:jc w:val="center"/>
        <w:pStyle w:val="Normal"/>
        <w:spacing w:line="240" w:lineRule="auto"/>
        <w:keepNext/>
      </w:pPr>
      <w:r>
        <w:rPr>
          <w:sz w:val="28"/>
          <w:rFonts w:ascii="Times New Roman" w:hAnsi="Times New Roman"/>
        </w:rPr>
        <w:t xml:space="preserve">Bilješka 19.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4262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Ulaganja u računalne programe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4262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5.750,00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Rashodi na ovoj stavci ostvareni su u većem iznosu u odnosu na prethodno izvještajno razdoblje zbog nabave računalnog programa potrebnog za uvođenje sustava riznice.</w:t>
      </w:r>
    </w:p>
    <w:p/>
    <w:p>
      <w:pPr>
        <w:jc w:val="center"/>
        <w:pStyle w:val="Normal"/>
        <w:spacing w:line="240" w:lineRule="auto"/>
        <w:keepNext/>
      </w:pPr>
      <w:r>
        <w:rPr>
          <w:b/>
          <w:sz w:val="28"/>
          <w:rFonts w:ascii="Times New Roman" w:hAnsi="Times New Roman"/>
        </w:rPr>
        <w:t xml:space="preserve">Izvještaj o obvezama</w:t>
      </w:r>
    </w:p>
    <w:p>
      <w:pPr>
        <w:jc w:val="center"/>
        <w:pStyle w:val="Normal"/>
        <w:spacing w:line="240" w:lineRule="auto"/>
        <w:keepNext/>
      </w:pPr>
      <w:r>
        <w:rPr>
          <w:sz w:val="28"/>
          <w:rFonts w:ascii="Times New Roman" w:hAnsi="Times New Roman"/>
        </w:rPr>
        <w:t xml:space="preserve">Bilješka 20.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dospjelih obveza na kraju izvještajnog razdoblja (šifre V008+D23+D24 + 'D dio 25,26' + D27)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V007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239.313,57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Dospjele obveze Općine Kamanje iznose 239.313,57 EUR i najvećim se dijelom odnose na povrat sredstava temeljem Odluke Agencije za plaćanja u poljoprivredi, ribarstvu i ruralnom razvoju donesene u okviru podmjere 7.2. „Ulaganja u izradu, poboljšanje ili proširenje svih vrsta male infrastrukture, uključujući ulaganja u obnovljive izvore energije i uštedu energije“, odnosno provedbe tipa operacije 7.2.2. „Ulaganja u građenje nerazvrstanih cesta“, kojom je utvrđena financijska korekcija i obveza povrata dijela dodijeljenih sredstava. Zbog nedostatnih proračunskih prihoda Općina Kamanje nije bila u mogućnosti vršiti redoviti povrat sredstava, te ukupno dospjeli dug na dan 30. 6. 2026. iznosi 180.760,29  EUR. Obveze za materijalne rashode iznose 39.109,28 EUR.   Općina Kamanje  će poduzeti sve potrebne mjere kako bi iste podmirila u što kraćem mogućem roku. Planira se podmirenje obveza prvenstveno iz ostvarenih viškova prihoda u narednom razdoblju, uz racionalno i odgovorno upravljanje proračunskim sredstvima. S ciljem stabilizacije financijskog poslovanja, Općina će privremeno smanjiti broj novih projekata te ograničiti opseg planiranih investicijskih aktivnosti sve dok se postojeće obveze ne podmire. Prioritet će biti usmjeren na uredno izvršavanje preuzetih obveza i postizanje financijske ravnoteže.</w:t>
      </w:r>
    </w:p>
    <w:p/>
    <w:p>
      <w:pPr>
        <w:jc w:val="center"/>
        <w:pStyle w:val="Normal"/>
        <w:spacing w:line="240" w:lineRule="auto"/>
        <w:keepNext/>
      </w:pPr>
      <w:r>
        <w:rPr>
          <w:sz w:val="28"/>
          <w:rFonts w:ascii="Times New Roman" w:hAnsi="Times New Roman"/>
        </w:rPr>
        <w:t xml:space="preserve">Bilješka 21.</w:t>
      </w:r>
    </w:p>
    <w:p>
      <w:pPr>
        <w:jc w:val="both"/>
        <w:pStyle w:val="Normal"/>
        <w:spacing w:line="240" w:lineRule="auto"/>
      </w:pPr>
      <w:r>
        <w:rPr>
          <w:b/>
          <w:sz w:val="24"/>
          <w:rFonts w:ascii="Times New Roman" w:hAnsi="Times New Roman"/>
        </w:rPr>
        <w:t xml:space="preserve">EU izvještaj</w:t>
      </w:r>
    </w:p>
    <w:p>
      <w:r>
        <w:t xml:space="preserve">Općina Kamanje je u prvom polugodištu 2026. godine ostvarila prihode u iznosu od 5.000,00 € pod brojčanom oznakom 581 za izrada prostornog plana nove generacije putem elektroničkog sustava „ePlanovi“. Sredstva su utrošena za izradu Urbanističkog plana uređenja groblja Kamanje.</w:t>
      </w:r>
    </w:p>
    <w:p/>
  </w:body>
</w:document>
</file>

<file path=word/styles.xml><?xml version="1.0" encoding="utf-8"?>
<w:styles xmlns:w="http://schemas.openxmlformats.org/wordprocessingml/2006/main">
  <w:docDefaults>
    <w:rPrDefault>
      <w:rPr>
        <w:rFonts w:ascii="Times New Roman" w:hAnsi="Times New Roman"/>
        <w:sz w:val="24"/>
      </w:rPr>
    </w:rPrDefault>
  </w:docDefaults>
  <w:style w:type="paragraph" w:styleId="Normal" w:default="true">
    <w:name w:val="Normal"/>
    <w:rPr>
      <w:rFonts w:ascii="Times New Roman" w:hAnsi="Times New Roman"/>
      <w:sz w:val="24"/>
    </w:rPr>
  </w:style>
</w:styles>
</file>

<file path=word/_rels/document.xml.rels>&#65279;<?xml version="1.0" encoding="utf-8"?><Relationships xmlns="http://schemas.openxmlformats.org/package/2006/relationships"><Relationship Type="http://schemas.openxmlformats.org/officeDocument/2006/relationships/styles" Target="/word/styles.xml" Id="R5460c708df354bef" /></Relationships>
</file>